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DA" w:rsidRPr="007555DA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0" w:name="_GoBack"/>
      <w:bookmarkEnd w:id="0"/>
      <w:r w:rsidRPr="007555DA">
        <w:rPr>
          <w:rFonts w:ascii="Times New Roman" w:hAnsi="Times New Roman" w:cs="Times New Roman"/>
          <w:i/>
          <w:sz w:val="24"/>
          <w:szCs w:val="24"/>
          <w:highlight w:val="yellow"/>
        </w:rPr>
        <w:t>Poziv na dodjelu bespovratnih financijskih sredstava</w:t>
      </w:r>
    </w:p>
    <w:p w:rsidR="007555DA" w:rsidRPr="00FD77B1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  <w:t>Obnova infrastrukture i opreme u području obrazovanja oštećene potresom</w:t>
      </w:r>
    </w:p>
    <w:p w:rsidR="007555DA" w:rsidRPr="00FD77B1" w:rsidRDefault="007555DA" w:rsidP="007555DA">
      <w:pPr>
        <w:pStyle w:val="ListParagraph"/>
        <w:numPr>
          <w:ilvl w:val="0"/>
          <w:numId w:val="31"/>
        </w:numPr>
        <w:spacing w:before="120" w:after="120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D77B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Ispravak do</w:t>
      </w:r>
      <w:r w:rsidR="00B777A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kumentacije, primjenjuje se od 26.</w:t>
      </w:r>
      <w:r w:rsidRPr="00FD77B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ožujka 2021. godine</w:t>
      </w:r>
    </w:p>
    <w:p w:rsidR="007555DA" w:rsidRPr="00FD77B1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55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OBRAZAC 3.</w:t>
      </w:r>
    </w:p>
    <w:p w:rsidR="007555DA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projekt opreme (nacrt opreme i tehničke specifikacije);</w:t>
      </w:r>
    </w:p>
    <w:p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="00420245" w:rsidRPr="000E1121">
        <w:rPr>
          <w:rStyle w:val="FootnoteReference"/>
          <w:rFonts w:ascii="Times New Roman" w:eastAsia="Times New Roman" w:hAnsi="Times New Roman"/>
          <w:bCs/>
          <w:sz w:val="24"/>
          <w:szCs w:val="24"/>
          <w:highlight w:val="yellow"/>
        </w:rPr>
        <w:footnoteReference w:id="2"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:rsidR="00977DAD" w:rsidRPr="007555DA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7555D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:rsidR="00977DAD" w:rsidRPr="007555DA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7555D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prijavnom obrascu 1.a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(NN,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članku 57. Zakona o obnovi zgrada oštećenih potresom na području Grada Zagreba, Krapinsko-zagorske županije i Zagrebačke županije (Narodne novine br. 102/2020</w:t>
      </w:r>
      <w:r w:rsidR="007555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555DA" w:rsidRPr="007555D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10/2021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77DAD" w:rsidRPr="007555DA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&lt;u slučaju kada je projektno tehnička dokumentacija izrađena te se predaje u okviru projektnog prijedloga, izjava treba sadržavati slijedeće: &gt;</w:t>
      </w:r>
    </w:p>
    <w:p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„Obnova infrastrukture </w:t>
      </w:r>
      <w:r w:rsidR="007768CF"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opreme </w:t>
      </w:r>
      <w:r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>u području obrazovanja</w:t>
      </w:r>
      <w:r w:rsidR="00E22DB9"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4C4A36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23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0B57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Potvrđujem da su navedeni podaci u ovoj izjavi istiniti te istu ovjeravam pečatom i svojim vlastoručnim potpisom.</w:t>
      </w: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 </w:t>
      </w:r>
      <w:r w:rsidRPr="007555D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mjesto &gt;</w:t>
      </w: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dana </w:t>
      </w:r>
      <w:r w:rsidRPr="007555D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datum &gt;</w:t>
      </w: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2021. godine.</w:t>
      </w: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>Prijavitelj:</w:t>
      </w: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  <w:r w:rsidRPr="007555D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>&lt;naziv stručnjaka/glavnog projektanta &gt;</w:t>
      </w: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Funkcija: </w:t>
      </w:r>
      <w:r w:rsidRPr="007555D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 xml:space="preserve">&lt; umetnuti  &gt;  </w:t>
      </w: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  <w:highlight w:val="yellow"/>
        </w:rPr>
      </w:pPr>
    </w:p>
    <w:p w:rsidR="007555DA" w:rsidRPr="007555D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>Potpis</w:t>
      </w: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                                                                                                          M.P.</w:t>
      </w:r>
    </w:p>
    <w:p w:rsidR="007555DA" w:rsidRPr="006D012A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555D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>&lt; umetnuti &gt;</w:t>
      </w:r>
    </w:p>
    <w:p w:rsidR="007555DA" w:rsidRPr="00A82C7D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7555DA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43C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55DA" w:rsidRPr="007555DA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55DA">
        <w:rPr>
          <w:rFonts w:ascii="Times New Roman" w:eastAsia="Times New Roman" w:hAnsi="Times New Roman" w:cs="Times New Roman"/>
          <w:sz w:val="24"/>
          <w:szCs w:val="24"/>
          <w:highlight w:val="yellow"/>
        </w:rPr>
        <w:t>Elaborat ocjene postojećeg stanja građevinske konstrukcije, ako je primjenjivo</w:t>
      </w:r>
    </w:p>
    <w:sectPr w:rsidR="007555DA" w:rsidRPr="007555DA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07" w:rsidRDefault="00F97107" w:rsidP="00EC4A16">
      <w:pPr>
        <w:spacing w:after="0" w:line="240" w:lineRule="auto"/>
      </w:pPr>
      <w:r>
        <w:separator/>
      </w:r>
    </w:p>
  </w:endnote>
  <w:endnote w:type="continuationSeparator" w:id="0">
    <w:p w:rsidR="00F97107" w:rsidRDefault="00F9710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30C0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30C0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07" w:rsidRDefault="00F97107" w:rsidP="00EC4A16">
      <w:pPr>
        <w:spacing w:after="0" w:line="240" w:lineRule="auto"/>
      </w:pPr>
      <w:r>
        <w:separator/>
      </w:r>
    </w:p>
  </w:footnote>
  <w:footnote w:type="continuationSeparator" w:id="0">
    <w:p w:rsidR="00F97107" w:rsidRDefault="00F97107" w:rsidP="00EC4A16">
      <w:pPr>
        <w:spacing w:after="0" w:line="240" w:lineRule="auto"/>
      </w:pPr>
      <w:r>
        <w:continuationSeparator/>
      </w:r>
    </w:p>
  </w:footnote>
  <w:footnote w:id="1">
    <w:p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2">
    <w:p w:rsidR="00420245" w:rsidRDefault="00420245" w:rsidP="000E1121">
      <w:pPr>
        <w:pStyle w:val="FootnoteText"/>
        <w:jc w:val="both"/>
      </w:pPr>
      <w:r w:rsidRPr="000E1121">
        <w:rPr>
          <w:rStyle w:val="FootnoteReference"/>
          <w:highlight w:val="yellow"/>
        </w:rPr>
        <w:footnoteRef/>
      </w:r>
      <w:r w:rsidRPr="000E1121">
        <w:rPr>
          <w:highlight w:val="yellow"/>
        </w:rPr>
        <w:t xml:space="preserve"> Za popravak opreme oštećene u potresu i nabavu nove opreme u slučaju da se postojeća ne može popraviti ne odnose se navedeni postotci s obzirom da se ne odnosi na cjelovitu obnovu građevine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:rsidR="001B7C93" w:rsidRPr="00FC7D26" w:rsidRDefault="001B7C93" w:rsidP="001B7C93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1B7C93" w:rsidRPr="005F36E1" w:rsidRDefault="001B7C93" w:rsidP="001B7C93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C93" w:rsidRDefault="001B7C93" w:rsidP="001B7C93">
    <w:pPr>
      <w:pStyle w:val="Header"/>
    </w:pPr>
  </w:p>
  <w:p w:rsidR="001B7C93" w:rsidRDefault="001B7C93" w:rsidP="001B7C93">
    <w:pPr>
      <w:pStyle w:val="Header"/>
    </w:pPr>
  </w:p>
  <w:p w:rsidR="001B7C93" w:rsidRPr="00F006F6" w:rsidRDefault="001B7C93" w:rsidP="001B7C93">
    <w:pPr>
      <w:pStyle w:val="Header"/>
      <w:jc w:val="center"/>
    </w:pPr>
  </w:p>
  <w:p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8"/>
  </w:num>
  <w:num w:numId="15">
    <w:abstractNumId w:val="24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30"/>
  </w:num>
  <w:num w:numId="22">
    <w:abstractNumId w:val="9"/>
  </w:num>
  <w:num w:numId="23">
    <w:abstractNumId w:val="22"/>
  </w:num>
  <w:num w:numId="24">
    <w:abstractNumId w:val="3"/>
  </w:num>
  <w:num w:numId="25">
    <w:abstractNumId w:val="26"/>
  </w:num>
  <w:num w:numId="26">
    <w:abstractNumId w:val="29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68DC"/>
    <w:rsid w:val="003F1477"/>
    <w:rsid w:val="003F2A22"/>
    <w:rsid w:val="003F753D"/>
    <w:rsid w:val="00417AE5"/>
    <w:rsid w:val="00420245"/>
    <w:rsid w:val="004247C4"/>
    <w:rsid w:val="004263FE"/>
    <w:rsid w:val="00431301"/>
    <w:rsid w:val="00434037"/>
    <w:rsid w:val="00436414"/>
    <w:rsid w:val="00444504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30C0D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55DA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77DAD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7A6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97107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43DC-F9BB-4186-9CD8-A5DCC892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2021-03-26T14:57:00Z</dcterms:created>
  <dcterms:modified xsi:type="dcterms:W3CDTF">2021-03-26T14:57:00Z</dcterms:modified>
</cp:coreProperties>
</file>